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5569F3">
        <w:rPr>
          <w:sz w:val="20"/>
          <w:szCs w:val="20"/>
        </w:rPr>
        <w:t>1044</w:t>
      </w:r>
      <w:r w:rsidR="005F3B27">
        <w:rPr>
          <w:sz w:val="20"/>
          <w:szCs w:val="20"/>
        </w:rPr>
        <w:t xml:space="preserve"> </w:t>
      </w:r>
      <w:r w:rsidRPr="00FC565C">
        <w:rPr>
          <w:sz w:val="20"/>
          <w:szCs w:val="20"/>
        </w:rPr>
        <w:t xml:space="preserve"> от «</w:t>
      </w:r>
      <w:r w:rsidR="005569F3">
        <w:rPr>
          <w:sz w:val="20"/>
          <w:szCs w:val="20"/>
        </w:rPr>
        <w:t>21</w:t>
      </w:r>
      <w:r w:rsidRPr="00FC565C">
        <w:rPr>
          <w:sz w:val="20"/>
          <w:szCs w:val="20"/>
        </w:rPr>
        <w:t xml:space="preserve">» </w:t>
      </w:r>
      <w:r w:rsidR="005569F3">
        <w:rPr>
          <w:sz w:val="20"/>
          <w:szCs w:val="20"/>
        </w:rPr>
        <w:t>мая</w:t>
      </w:r>
      <w:r w:rsidR="005F3B27">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0E2346">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F6410B">
        <w:rPr>
          <w:b/>
          <w:sz w:val="28"/>
          <w:szCs w:val="28"/>
        </w:rPr>
        <w:t>транспортное средство (трактор) Т-25А, год выпуска- 1991 год</w:t>
      </w: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0E2346" w:rsidRDefault="00BA7B51" w:rsidP="00576433">
      <w:pPr>
        <w:pStyle w:val="a6"/>
        <w:ind w:firstLine="621"/>
        <w:jc w:val="both"/>
        <w:rPr>
          <w:b/>
          <w:bCs/>
        </w:rPr>
      </w:pPr>
      <w:r w:rsidRPr="00457402">
        <w:rPr>
          <w:b/>
          <w:bCs/>
        </w:rPr>
        <w:t xml:space="preserve">                                       </w:t>
      </w:r>
      <w:r w:rsidR="00224C40" w:rsidRPr="00457402">
        <w:rPr>
          <w:b/>
          <w:bCs/>
        </w:rPr>
        <w:t xml:space="preserve">                          </w:t>
      </w:r>
      <w:r w:rsidRPr="00457402">
        <w:rPr>
          <w:b/>
          <w:bCs/>
        </w:rPr>
        <w:t xml:space="preserve">      </w:t>
      </w:r>
    </w:p>
    <w:p w:rsidR="00F6410B" w:rsidRDefault="00F6410B" w:rsidP="00576433">
      <w:pPr>
        <w:pStyle w:val="a6"/>
        <w:ind w:firstLine="621"/>
        <w:jc w:val="both"/>
        <w:rPr>
          <w:b/>
          <w:bCs/>
        </w:rPr>
      </w:pPr>
    </w:p>
    <w:p w:rsidR="00F6410B" w:rsidRDefault="00F6410B" w:rsidP="00576433">
      <w:pPr>
        <w:pStyle w:val="a6"/>
        <w:ind w:firstLine="621"/>
        <w:jc w:val="both"/>
        <w:rPr>
          <w:b/>
          <w:bCs/>
        </w:rPr>
      </w:pPr>
    </w:p>
    <w:p w:rsidR="00F6410B" w:rsidRDefault="00F6410B" w:rsidP="00576433">
      <w:pPr>
        <w:pStyle w:val="a6"/>
        <w:ind w:firstLine="621"/>
        <w:jc w:val="both"/>
        <w:rPr>
          <w:b/>
          <w:bCs/>
        </w:rPr>
      </w:pPr>
    </w:p>
    <w:p w:rsidR="00224C40" w:rsidRDefault="00224C40" w:rsidP="00576433">
      <w:pPr>
        <w:pStyle w:val="a6"/>
        <w:ind w:firstLine="621"/>
        <w:jc w:val="both"/>
        <w:rPr>
          <w:b/>
          <w:bCs/>
        </w:rPr>
      </w:pPr>
      <w:r w:rsidRPr="00457402">
        <w:rPr>
          <w:b/>
          <w:bCs/>
        </w:rPr>
        <w:lastRenderedPageBreak/>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BD7AB9" w:rsidRDefault="00224C40" w:rsidP="00BD7AB9">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5569F3">
        <w:rPr>
          <w:rFonts w:ascii="Times New Roman" w:hAnsi="Times New Roman"/>
          <w:noProof/>
          <w:sz w:val="24"/>
          <w:szCs w:val="24"/>
        </w:rPr>
        <w:t>21</w:t>
      </w:r>
      <w:r w:rsidRPr="004B4B35">
        <w:rPr>
          <w:rFonts w:ascii="Times New Roman" w:hAnsi="Times New Roman"/>
          <w:noProof/>
          <w:sz w:val="24"/>
          <w:szCs w:val="24"/>
        </w:rPr>
        <w:t>»</w:t>
      </w:r>
      <w:r w:rsidR="00DA4854">
        <w:rPr>
          <w:rFonts w:ascii="Times New Roman" w:hAnsi="Times New Roman"/>
          <w:noProof/>
          <w:sz w:val="24"/>
          <w:szCs w:val="24"/>
        </w:rPr>
        <w:t xml:space="preserve"> </w:t>
      </w:r>
      <w:r w:rsidR="005569F3">
        <w:rPr>
          <w:rFonts w:ascii="Times New Roman" w:hAnsi="Times New Roman"/>
          <w:noProof/>
          <w:sz w:val="24"/>
          <w:szCs w:val="24"/>
        </w:rPr>
        <w:t>мая</w:t>
      </w:r>
      <w:r w:rsidR="00DA4854">
        <w:rPr>
          <w:rFonts w:ascii="Times New Roman" w:hAnsi="Times New Roman"/>
          <w:noProof/>
          <w:sz w:val="24"/>
          <w:szCs w:val="24"/>
        </w:rPr>
        <w:t xml:space="preserve"> </w:t>
      </w:r>
      <w:r w:rsidRPr="004B4B35">
        <w:rPr>
          <w:rFonts w:ascii="Times New Roman" w:hAnsi="Times New Roman"/>
          <w:noProof/>
          <w:sz w:val="24"/>
          <w:szCs w:val="24"/>
        </w:rPr>
        <w:t>2026 №</w:t>
      </w:r>
      <w:r w:rsidR="005569F3">
        <w:rPr>
          <w:rFonts w:ascii="Times New Roman" w:hAnsi="Times New Roman"/>
          <w:noProof/>
          <w:sz w:val="24"/>
          <w:szCs w:val="24"/>
        </w:rPr>
        <w:t>1044</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Pr="000E2346" w:rsidRDefault="004B4B35" w:rsidP="004B4B35">
      <w:pPr>
        <w:pStyle w:val="a6"/>
        <w:ind w:firstLine="621"/>
        <w:jc w:val="center"/>
        <w:rPr>
          <w:b/>
          <w:bCs/>
          <w:sz w:val="26"/>
          <w:szCs w:val="26"/>
        </w:rPr>
      </w:pPr>
      <w:r w:rsidRPr="000E2346">
        <w:rPr>
          <w:b/>
          <w:bCs/>
          <w:sz w:val="26"/>
          <w:szCs w:val="26"/>
        </w:rPr>
        <w:t xml:space="preserve">Извещение </w:t>
      </w:r>
    </w:p>
    <w:p w:rsidR="004B4B35" w:rsidRPr="000E2346" w:rsidRDefault="004B4B35" w:rsidP="004B4B35">
      <w:pPr>
        <w:pStyle w:val="a6"/>
        <w:ind w:firstLine="621"/>
        <w:jc w:val="center"/>
        <w:rPr>
          <w:b/>
          <w:bCs/>
          <w:sz w:val="26"/>
          <w:szCs w:val="26"/>
        </w:rPr>
      </w:pPr>
      <w:r w:rsidRPr="000E2346">
        <w:rPr>
          <w:b/>
          <w:bCs/>
          <w:sz w:val="26"/>
          <w:szCs w:val="26"/>
        </w:rPr>
        <w:t>о проведен</w:t>
      </w:r>
      <w:proofErr w:type="gramStart"/>
      <w:r w:rsidRPr="000E2346">
        <w:rPr>
          <w:b/>
          <w:bCs/>
          <w:sz w:val="26"/>
          <w:szCs w:val="26"/>
        </w:rPr>
        <w:t>ии ау</w:t>
      </w:r>
      <w:proofErr w:type="gramEnd"/>
      <w:r w:rsidRPr="000E2346">
        <w:rPr>
          <w:b/>
          <w:bCs/>
          <w:sz w:val="26"/>
          <w:szCs w:val="26"/>
        </w:rPr>
        <w:t>кциона в электронной форме</w:t>
      </w:r>
    </w:p>
    <w:p w:rsidR="00F6410B" w:rsidRPr="00F6410B" w:rsidRDefault="004B4B35" w:rsidP="00F6410B">
      <w:pPr>
        <w:pStyle w:val="a6"/>
        <w:ind w:firstLine="621"/>
        <w:jc w:val="center"/>
        <w:rPr>
          <w:b/>
          <w:sz w:val="26"/>
          <w:szCs w:val="26"/>
        </w:rPr>
      </w:pPr>
      <w:r w:rsidRPr="000E2346">
        <w:rPr>
          <w:b/>
          <w:bCs/>
          <w:sz w:val="26"/>
          <w:szCs w:val="26"/>
        </w:rPr>
        <w:t xml:space="preserve">на право заключения договора </w:t>
      </w:r>
      <w:r w:rsidR="00735102" w:rsidRPr="000E2346">
        <w:rPr>
          <w:b/>
          <w:sz w:val="26"/>
          <w:szCs w:val="26"/>
        </w:rPr>
        <w:t>купли-продажи</w:t>
      </w:r>
      <w:r w:rsidR="00735102" w:rsidRPr="000E2346">
        <w:rPr>
          <w:sz w:val="26"/>
          <w:szCs w:val="26"/>
        </w:rPr>
        <w:t xml:space="preserve"> </w:t>
      </w:r>
      <w:r w:rsidRPr="000E2346">
        <w:rPr>
          <w:b/>
          <w:sz w:val="26"/>
          <w:szCs w:val="26"/>
        </w:rPr>
        <w:t xml:space="preserve">муниципального имущества </w:t>
      </w:r>
      <w:r w:rsidR="00735102" w:rsidRPr="000E2346">
        <w:rPr>
          <w:b/>
          <w:sz w:val="26"/>
          <w:szCs w:val="26"/>
        </w:rPr>
        <w:t xml:space="preserve">- </w:t>
      </w:r>
      <w:r w:rsidR="00F6410B" w:rsidRPr="00F6410B">
        <w:rPr>
          <w:b/>
          <w:sz w:val="26"/>
          <w:szCs w:val="26"/>
        </w:rPr>
        <w:t>транспортное средство (трактор) Т-25А, год выпуска- 1991 год</w:t>
      </w:r>
    </w:p>
    <w:p w:rsidR="004B4B35" w:rsidRPr="00457402" w:rsidRDefault="004B4B35" w:rsidP="004B4B35">
      <w:pPr>
        <w:pStyle w:val="a6"/>
        <w:ind w:firstLine="621"/>
        <w:jc w:val="both"/>
      </w:pP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 xml:space="preserve">аукцион в электронной форме открытый по составу участников и форме подачи предложений (далее – </w:t>
            </w:r>
            <w:r w:rsidRPr="00E748E5">
              <w:rPr>
                <w:sz w:val="22"/>
                <w:szCs w:val="22"/>
              </w:rPr>
              <w:lastRenderedPageBreak/>
              <w:t>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F6410B" w:rsidRPr="00F6410B" w:rsidRDefault="00F6410B" w:rsidP="00F6410B">
            <w:pPr>
              <w:pStyle w:val="a6"/>
              <w:ind w:firstLine="621"/>
              <w:jc w:val="center"/>
              <w:rPr>
                <w:sz w:val="26"/>
                <w:szCs w:val="26"/>
              </w:rPr>
            </w:pPr>
            <w:r w:rsidRPr="00F6410B">
              <w:rPr>
                <w:sz w:val="26"/>
                <w:szCs w:val="26"/>
              </w:rPr>
              <w:t>транспортное средство (трактор) Т-25А, год выпуска- 1991 год</w:t>
            </w:r>
            <w:r w:rsidR="0053393B">
              <w:rPr>
                <w:sz w:val="26"/>
                <w:szCs w:val="26"/>
              </w:rPr>
              <w:t>, заводской номер (рама): 612798, регистрационный знак  код 74 серия ХМ №9236</w:t>
            </w:r>
          </w:p>
          <w:p w:rsidR="004B4B35" w:rsidRPr="00BD7AB9" w:rsidRDefault="004B4B35" w:rsidP="00F6410B">
            <w:pPr>
              <w:pStyle w:val="a6"/>
              <w:ind w:firstLine="621"/>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r w:rsidR="00F6410B">
              <w:rPr>
                <w:lang w:eastAsia="en-US"/>
              </w:rPr>
              <w:t xml:space="preserve"> (без учета НДС)</w:t>
            </w:r>
          </w:p>
        </w:tc>
        <w:tc>
          <w:tcPr>
            <w:tcW w:w="10064" w:type="dxa"/>
          </w:tcPr>
          <w:p w:rsidR="004B4B35" w:rsidRDefault="00F6410B" w:rsidP="004B4B35">
            <w:pPr>
              <w:jc w:val="both"/>
            </w:pPr>
            <w:r>
              <w:t>78713,00</w:t>
            </w:r>
            <w:r w:rsidR="00401C9D">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F6410B">
            <w:pPr>
              <w:jc w:val="both"/>
            </w:pPr>
            <w:r>
              <w:rPr>
                <w:lang w:eastAsia="en-US"/>
              </w:rPr>
              <w:t xml:space="preserve"> </w:t>
            </w:r>
            <w:r w:rsidR="00F6410B">
              <w:rPr>
                <w:lang w:eastAsia="en-US"/>
              </w:rPr>
              <w:t>2361,39</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F6410B">
              <w:rPr>
                <w:lang w:eastAsia="en-US"/>
              </w:rPr>
              <w:t>7871,30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441C9">
            <w:pPr>
              <w:pStyle w:val="4"/>
              <w:widowControl w:val="0"/>
              <w:spacing w:line="276" w:lineRule="auto"/>
              <w:ind w:firstLine="34"/>
              <w:rPr>
                <w:sz w:val="22"/>
                <w:szCs w:val="22"/>
                <w:lang w:eastAsia="en-US"/>
              </w:rPr>
            </w:pPr>
            <w:r w:rsidRPr="00CF68EC">
              <w:rPr>
                <w:sz w:val="22"/>
                <w:szCs w:val="22"/>
                <w:lang w:eastAsia="en-US"/>
              </w:rPr>
              <w:t>Целевое назначение движимого имущества, права на которое передаются по договору</w:t>
            </w:r>
          </w:p>
        </w:tc>
        <w:tc>
          <w:tcPr>
            <w:tcW w:w="10064" w:type="dxa"/>
          </w:tcPr>
          <w:p w:rsidR="00742D11" w:rsidRPr="00E748E5" w:rsidRDefault="00742D11" w:rsidP="00C74700">
            <w:pPr>
              <w:jc w:val="both"/>
              <w:rPr>
                <w:lang w:eastAsia="en-US"/>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861749">
            <w:pPr>
              <w:jc w:val="both"/>
            </w:pPr>
            <w:r w:rsidRPr="00E748E5">
              <w:t>«</w:t>
            </w:r>
            <w:r w:rsidR="00861749">
              <w:t>28</w:t>
            </w:r>
            <w:r w:rsidRPr="00E748E5">
              <w:t>»</w:t>
            </w:r>
            <w:r w:rsidR="00861749">
              <w:t xml:space="preserve"> мая</w:t>
            </w:r>
            <w:r w:rsidR="008D6F9D">
              <w:t xml:space="preserve"> </w:t>
            </w:r>
            <w:r w:rsidRPr="00E748E5">
              <w:t xml:space="preserve">2026  года </w:t>
            </w:r>
            <w:r w:rsidR="00861749">
              <w:t>10</w:t>
            </w:r>
            <w:r w:rsidRPr="00E748E5">
              <w:t xml:space="preserve">:00 часов </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61749">
              <w:t>22</w:t>
            </w:r>
            <w:r w:rsidRPr="00E748E5">
              <w:t>»</w:t>
            </w:r>
            <w:r w:rsidR="008D6F9D">
              <w:t xml:space="preserve"> </w:t>
            </w:r>
            <w:r w:rsidR="00861749">
              <w:t>июня</w:t>
            </w:r>
            <w:r w:rsidR="008D6F9D">
              <w:t xml:space="preserve"> </w:t>
            </w:r>
            <w:r w:rsidRPr="00E748E5">
              <w:t xml:space="preserve">2026 года до </w:t>
            </w:r>
            <w:r w:rsidR="00861749">
              <w:t>10</w:t>
            </w:r>
            <w:r w:rsidRPr="00E748E5">
              <w:t xml:space="preserve">.00 часов </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861749">
            <w:pPr>
              <w:spacing w:line="256" w:lineRule="auto"/>
              <w:jc w:val="both"/>
            </w:pPr>
            <w:r w:rsidRPr="00E748E5">
              <w:t>«</w:t>
            </w:r>
            <w:r w:rsidR="00861749">
              <w:t>23</w:t>
            </w:r>
            <w:r w:rsidRPr="00E748E5">
              <w:t>»</w:t>
            </w:r>
            <w:r w:rsidR="008D6F9D">
              <w:t xml:space="preserve"> </w:t>
            </w:r>
            <w:r w:rsidR="00861749">
              <w:t>июня</w:t>
            </w:r>
            <w:r w:rsidR="008D6F9D">
              <w:t xml:space="preserve"> </w:t>
            </w:r>
            <w:r w:rsidRPr="00E748E5">
              <w:t xml:space="preserve">2026 года в </w:t>
            </w:r>
            <w:r w:rsidR="00861749">
              <w:t>10</w:t>
            </w:r>
            <w:r w:rsidRPr="00E748E5">
              <w:t xml:space="preserve">:00 </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861749">
            <w:pPr>
              <w:spacing w:line="256" w:lineRule="auto"/>
              <w:jc w:val="both"/>
            </w:pPr>
            <w:r w:rsidRPr="00E748E5">
              <w:t>«</w:t>
            </w:r>
            <w:r w:rsidR="00861749">
              <w:t>24</w:t>
            </w:r>
            <w:r w:rsidRPr="00E748E5">
              <w:t>»</w:t>
            </w:r>
            <w:r w:rsidR="008D6F9D">
              <w:t xml:space="preserve"> </w:t>
            </w:r>
            <w:r w:rsidR="00861749">
              <w:t>июня</w:t>
            </w:r>
            <w:r w:rsidR="008D6F9D">
              <w:t xml:space="preserve"> </w:t>
            </w:r>
            <w:r w:rsidRPr="00E748E5">
              <w:t xml:space="preserve">2026 года в </w:t>
            </w:r>
            <w:r w:rsidR="00861749">
              <w:t>10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lastRenderedPageBreak/>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lastRenderedPageBreak/>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5569F3">
            <w:pPr>
              <w:jc w:val="both"/>
              <w:rPr>
                <w:sz w:val="24"/>
                <w:szCs w:val="24"/>
              </w:rPr>
            </w:pPr>
            <w:r w:rsidRPr="00C613F6">
              <w:rPr>
                <w:sz w:val="24"/>
                <w:szCs w:val="24"/>
              </w:rPr>
              <w:t>Постановление Администрации Увельского муниципального округа №</w:t>
            </w:r>
            <w:r w:rsidR="005569F3">
              <w:rPr>
                <w:sz w:val="24"/>
                <w:szCs w:val="24"/>
              </w:rPr>
              <w:t>1044</w:t>
            </w:r>
            <w:r w:rsidR="00687BD9">
              <w:rPr>
                <w:sz w:val="24"/>
                <w:szCs w:val="24"/>
              </w:rPr>
              <w:t xml:space="preserve">  </w:t>
            </w:r>
            <w:r w:rsidR="00DA4854">
              <w:rPr>
                <w:sz w:val="24"/>
                <w:szCs w:val="24"/>
              </w:rPr>
              <w:t xml:space="preserve"> </w:t>
            </w:r>
            <w:r w:rsidRPr="00C613F6">
              <w:rPr>
                <w:sz w:val="24"/>
                <w:szCs w:val="24"/>
              </w:rPr>
              <w:t xml:space="preserve"> от «</w:t>
            </w:r>
            <w:r w:rsidR="005569F3">
              <w:rPr>
                <w:sz w:val="24"/>
                <w:szCs w:val="24"/>
              </w:rPr>
              <w:t>21</w:t>
            </w:r>
            <w:r w:rsidRPr="00C613F6">
              <w:rPr>
                <w:sz w:val="24"/>
                <w:szCs w:val="24"/>
              </w:rPr>
              <w:t>»</w:t>
            </w:r>
            <w:r w:rsidR="00DA4854">
              <w:rPr>
                <w:sz w:val="24"/>
                <w:szCs w:val="24"/>
              </w:rPr>
              <w:t xml:space="preserve"> </w:t>
            </w:r>
            <w:r w:rsidR="005569F3">
              <w:rPr>
                <w:sz w:val="24"/>
                <w:szCs w:val="24"/>
              </w:rPr>
              <w:t>мая</w:t>
            </w:r>
            <w:r w:rsidR="00DA4854">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D246FC">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lastRenderedPageBreak/>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5) надлежащим образом заверенный перевод на русский язык документов о государственной </w:t>
            </w:r>
            <w:r w:rsidRPr="00C613F6">
              <w:rPr>
                <w:rFonts w:eastAsiaTheme="minorHAnsi"/>
                <w:sz w:val="24"/>
                <w:szCs w:val="24"/>
                <w:lang w:eastAsia="en-US"/>
              </w:rPr>
              <w:lastRenderedPageBreak/>
              <w:t>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w:t>
            </w:r>
            <w:r w:rsidRPr="00C613F6">
              <w:rPr>
                <w:rFonts w:ascii="Times New Roman" w:hAnsi="Times New Roman" w:cs="Times New Roman"/>
                <w:sz w:val="24"/>
                <w:szCs w:val="24"/>
              </w:rPr>
              <w:lastRenderedPageBreak/>
              <w:t>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lastRenderedPageBreak/>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w:t>
            </w:r>
            <w:r w:rsidRPr="00C613F6">
              <w:rPr>
                <w:sz w:val="24"/>
                <w:szCs w:val="24"/>
              </w:rPr>
              <w:lastRenderedPageBreak/>
              <w:t xml:space="preserve">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lastRenderedPageBreak/>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lastRenderedPageBreak/>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lastRenderedPageBreak/>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подписания протокола аукциона заявителям, чьи заявки на участие в аукционе получены </w:t>
            </w:r>
            <w:r w:rsidRPr="00C613F6">
              <w:rPr>
                <w:sz w:val="24"/>
                <w:szCs w:val="24"/>
              </w:rPr>
              <w:lastRenderedPageBreak/>
              <w:t>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5813F7" w:rsidRPr="005813F7" w:rsidRDefault="00031BB5" w:rsidP="005813F7">
      <w:pPr>
        <w:pStyle w:val="a6"/>
        <w:ind w:firstLine="621"/>
        <w:jc w:val="both"/>
        <w:rPr>
          <w:sz w:val="26"/>
          <w:szCs w:val="26"/>
        </w:rPr>
      </w:pPr>
      <w:r w:rsidRPr="00FA279B">
        <w:rPr>
          <w:sz w:val="26"/>
          <w:szCs w:val="26"/>
        </w:rPr>
        <w:t xml:space="preserve">1.1. </w:t>
      </w:r>
      <w:r w:rsidRPr="005813F7">
        <w:rPr>
          <w:sz w:val="26"/>
          <w:szCs w:val="26"/>
        </w:rPr>
        <w:t xml:space="preserve">Продавец передает в собственность (за плату), а Покупатель принимает и оплачивает по цене и на условиях настоящего Договора </w:t>
      </w:r>
      <w:r w:rsidR="00802A30">
        <w:rPr>
          <w:sz w:val="26"/>
          <w:szCs w:val="26"/>
        </w:rPr>
        <w:t>трактор Т-25А</w:t>
      </w:r>
    </w:p>
    <w:p w:rsidR="002B5A24" w:rsidRPr="00FA279B" w:rsidRDefault="00A10580" w:rsidP="002B5A24">
      <w:pPr>
        <w:pStyle w:val="a6"/>
        <w:ind w:firstLine="621"/>
        <w:jc w:val="both"/>
        <w:rPr>
          <w:b/>
          <w:sz w:val="26"/>
          <w:szCs w:val="26"/>
        </w:rPr>
      </w:pPr>
      <w:r w:rsidRPr="00FA279B">
        <w:rPr>
          <w:sz w:val="26"/>
          <w:szCs w:val="26"/>
        </w:rPr>
        <w:t xml:space="preserve">Целевое </w:t>
      </w:r>
      <w:proofErr w:type="spellStart"/>
      <w:proofErr w:type="gramStart"/>
      <w:r w:rsidRPr="00FA279B">
        <w:rPr>
          <w:sz w:val="26"/>
          <w:szCs w:val="26"/>
        </w:rPr>
        <w:t>назначение-</w:t>
      </w:r>
      <w:r w:rsidR="00802A30">
        <w:rPr>
          <w:sz w:val="26"/>
          <w:szCs w:val="26"/>
        </w:rPr>
        <w:t>прямое</w:t>
      </w:r>
      <w:proofErr w:type="spellEnd"/>
      <w:proofErr w:type="gramEnd"/>
      <w:r w:rsidRPr="00FA279B">
        <w:rPr>
          <w:sz w:val="26"/>
          <w:szCs w:val="26"/>
        </w:rPr>
        <w:t>.</w:t>
      </w:r>
    </w:p>
    <w:p w:rsidR="005813F7" w:rsidRPr="00401C9D" w:rsidRDefault="00031BB5" w:rsidP="005813F7">
      <w:pPr>
        <w:pStyle w:val="a6"/>
        <w:ind w:firstLine="621"/>
      </w:pPr>
      <w:r w:rsidRPr="00FA279B">
        <w:rPr>
          <w:sz w:val="26"/>
          <w:szCs w:val="26"/>
        </w:rPr>
        <w:t xml:space="preserve">1.2. </w:t>
      </w:r>
      <w:r w:rsidR="00802A30">
        <w:rPr>
          <w:sz w:val="26"/>
          <w:szCs w:val="26"/>
        </w:rPr>
        <w:t xml:space="preserve">Трактор </w:t>
      </w:r>
      <w:r w:rsidRPr="00FA279B">
        <w:rPr>
          <w:sz w:val="26"/>
          <w:szCs w:val="26"/>
        </w:rPr>
        <w:t>принадлежит Продавцу на праве собственности</w:t>
      </w:r>
      <w:r w:rsidR="00802A30">
        <w:rPr>
          <w:sz w:val="26"/>
          <w:szCs w:val="26"/>
        </w:rPr>
        <w:t>, что подтверждает Паспорт самоходной машины.</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802A30">
        <w:rPr>
          <w:sz w:val="26"/>
          <w:szCs w:val="26"/>
        </w:rPr>
        <w:t xml:space="preserve">на муниципальный объект </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802A30">
        <w:rPr>
          <w:b w:val="0"/>
          <w:bCs/>
          <w:sz w:val="26"/>
          <w:szCs w:val="26"/>
        </w:rPr>
        <w:t>Трактор- 25А</w:t>
      </w:r>
      <w:r w:rsidRPr="00FA279B">
        <w:rPr>
          <w:b w:val="0"/>
          <w:bCs/>
          <w:sz w:val="26"/>
          <w:szCs w:val="26"/>
        </w:rPr>
        <w:t xml:space="preserve"> 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802A30">
        <w:rPr>
          <w:sz w:val="26"/>
          <w:szCs w:val="26"/>
        </w:rPr>
        <w:t>муниципального объекта</w:t>
      </w:r>
      <w:r w:rsidRPr="00FA279B">
        <w:rPr>
          <w:sz w:val="26"/>
          <w:szCs w:val="26"/>
        </w:rPr>
        <w:t xml:space="preserve"> 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802A30">
        <w:rPr>
          <w:b w:val="0"/>
          <w:bCs/>
          <w:sz w:val="26"/>
          <w:szCs w:val="26"/>
        </w:rPr>
        <w:t>муниципального объекта</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lastRenderedPageBreak/>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802A30"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w:t>
      </w:r>
      <w:r w:rsidR="00802A30">
        <w:rPr>
          <w:rFonts w:ascii="Times New Roman" w:hAnsi="Times New Roman"/>
          <w:sz w:val="26"/>
          <w:szCs w:val="26"/>
        </w:rPr>
        <w:t>Покупатель самостоятельно оформляет регистрацию права на движимое имущество.</w:t>
      </w:r>
    </w:p>
    <w:p w:rsidR="00031BB5" w:rsidRPr="00FA279B" w:rsidRDefault="00802A30"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 </w:t>
      </w:r>
      <w:r w:rsidR="00031BB5"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proofErr w:type="spellStart"/>
      <w:r w:rsidR="00802A30">
        <w:rPr>
          <w:rFonts w:ascii="Times New Roman" w:hAnsi="Times New Roman"/>
          <w:sz w:val="26"/>
          <w:szCs w:val="26"/>
        </w:rPr>
        <w:t>Тракктора</w:t>
      </w:r>
      <w:proofErr w:type="spellEnd"/>
      <w:proofErr w:type="gramEnd"/>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802A30">
        <w:rPr>
          <w:rFonts w:ascii="Times New Roman" w:hAnsi="Times New Roman"/>
          <w:sz w:val="26"/>
          <w:szCs w:val="26"/>
        </w:rPr>
        <w:t>Трактор</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802A30">
        <w:rPr>
          <w:sz w:val="26"/>
          <w:szCs w:val="26"/>
        </w:rPr>
        <w:t>муниципального имущества</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lastRenderedPageBreak/>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D3501"/>
    <w:rsid w:val="000E2346"/>
    <w:rsid w:val="000F17CF"/>
    <w:rsid w:val="00123DC7"/>
    <w:rsid w:val="001316AE"/>
    <w:rsid w:val="00156A20"/>
    <w:rsid w:val="001712E3"/>
    <w:rsid w:val="001A066F"/>
    <w:rsid w:val="001F238D"/>
    <w:rsid w:val="00203BE7"/>
    <w:rsid w:val="002167E1"/>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81642"/>
    <w:rsid w:val="003860EE"/>
    <w:rsid w:val="003B3A53"/>
    <w:rsid w:val="003F3313"/>
    <w:rsid w:val="00401C9D"/>
    <w:rsid w:val="00404965"/>
    <w:rsid w:val="00406D96"/>
    <w:rsid w:val="00425252"/>
    <w:rsid w:val="004441C9"/>
    <w:rsid w:val="00445F3A"/>
    <w:rsid w:val="00457402"/>
    <w:rsid w:val="00461D03"/>
    <w:rsid w:val="00473793"/>
    <w:rsid w:val="004928A8"/>
    <w:rsid w:val="004B4B35"/>
    <w:rsid w:val="004C6EB8"/>
    <w:rsid w:val="004E23BD"/>
    <w:rsid w:val="00510037"/>
    <w:rsid w:val="00517076"/>
    <w:rsid w:val="00521463"/>
    <w:rsid w:val="0053393B"/>
    <w:rsid w:val="005360F4"/>
    <w:rsid w:val="005569F3"/>
    <w:rsid w:val="00573FC7"/>
    <w:rsid w:val="00576433"/>
    <w:rsid w:val="005766D2"/>
    <w:rsid w:val="005813F7"/>
    <w:rsid w:val="00585DF6"/>
    <w:rsid w:val="005A06ED"/>
    <w:rsid w:val="005A1AAE"/>
    <w:rsid w:val="005A778A"/>
    <w:rsid w:val="005B0BCF"/>
    <w:rsid w:val="005B0FF7"/>
    <w:rsid w:val="005B4068"/>
    <w:rsid w:val="005B547B"/>
    <w:rsid w:val="005F3B27"/>
    <w:rsid w:val="005F3BDD"/>
    <w:rsid w:val="006041F5"/>
    <w:rsid w:val="00607B16"/>
    <w:rsid w:val="006718E4"/>
    <w:rsid w:val="00687BD9"/>
    <w:rsid w:val="00691043"/>
    <w:rsid w:val="006A21CD"/>
    <w:rsid w:val="006D0D37"/>
    <w:rsid w:val="006D14B8"/>
    <w:rsid w:val="006F501D"/>
    <w:rsid w:val="006F5324"/>
    <w:rsid w:val="007006ED"/>
    <w:rsid w:val="00707B62"/>
    <w:rsid w:val="00735102"/>
    <w:rsid w:val="00742D11"/>
    <w:rsid w:val="0075388F"/>
    <w:rsid w:val="00775017"/>
    <w:rsid w:val="00775B01"/>
    <w:rsid w:val="00777BD2"/>
    <w:rsid w:val="00791851"/>
    <w:rsid w:val="00792E26"/>
    <w:rsid w:val="00796DE3"/>
    <w:rsid w:val="007B0F69"/>
    <w:rsid w:val="007B7EFF"/>
    <w:rsid w:val="007D09FD"/>
    <w:rsid w:val="007D0D97"/>
    <w:rsid w:val="007F69BC"/>
    <w:rsid w:val="00802A30"/>
    <w:rsid w:val="008456F7"/>
    <w:rsid w:val="00861749"/>
    <w:rsid w:val="008767FA"/>
    <w:rsid w:val="008A202D"/>
    <w:rsid w:val="008A4072"/>
    <w:rsid w:val="008D39D8"/>
    <w:rsid w:val="008D5F74"/>
    <w:rsid w:val="008D6F9D"/>
    <w:rsid w:val="009044F0"/>
    <w:rsid w:val="00913ADC"/>
    <w:rsid w:val="00925835"/>
    <w:rsid w:val="0092724A"/>
    <w:rsid w:val="009414EF"/>
    <w:rsid w:val="00981D0F"/>
    <w:rsid w:val="009866A9"/>
    <w:rsid w:val="009A2646"/>
    <w:rsid w:val="009A3D2B"/>
    <w:rsid w:val="009B4326"/>
    <w:rsid w:val="009E3C22"/>
    <w:rsid w:val="009E5833"/>
    <w:rsid w:val="00A01060"/>
    <w:rsid w:val="00A10580"/>
    <w:rsid w:val="00A246BB"/>
    <w:rsid w:val="00A36B1A"/>
    <w:rsid w:val="00A6546F"/>
    <w:rsid w:val="00A75F85"/>
    <w:rsid w:val="00A956FB"/>
    <w:rsid w:val="00AA4CA3"/>
    <w:rsid w:val="00AD694A"/>
    <w:rsid w:val="00B0519F"/>
    <w:rsid w:val="00B33739"/>
    <w:rsid w:val="00B41915"/>
    <w:rsid w:val="00B54EC3"/>
    <w:rsid w:val="00B84249"/>
    <w:rsid w:val="00B84603"/>
    <w:rsid w:val="00BA0E41"/>
    <w:rsid w:val="00BA7B51"/>
    <w:rsid w:val="00BA7C23"/>
    <w:rsid w:val="00BB776E"/>
    <w:rsid w:val="00BC7806"/>
    <w:rsid w:val="00BD7AB9"/>
    <w:rsid w:val="00BE57A1"/>
    <w:rsid w:val="00C10150"/>
    <w:rsid w:val="00C325ED"/>
    <w:rsid w:val="00C37BC0"/>
    <w:rsid w:val="00C461B7"/>
    <w:rsid w:val="00C55649"/>
    <w:rsid w:val="00C574F9"/>
    <w:rsid w:val="00C613F6"/>
    <w:rsid w:val="00C743B1"/>
    <w:rsid w:val="00C74700"/>
    <w:rsid w:val="00C9498C"/>
    <w:rsid w:val="00CA6AEC"/>
    <w:rsid w:val="00CC6DDA"/>
    <w:rsid w:val="00CD01D0"/>
    <w:rsid w:val="00CF1696"/>
    <w:rsid w:val="00CF2D13"/>
    <w:rsid w:val="00CF68EC"/>
    <w:rsid w:val="00D01687"/>
    <w:rsid w:val="00D06895"/>
    <w:rsid w:val="00D149C9"/>
    <w:rsid w:val="00D246FC"/>
    <w:rsid w:val="00D41A9F"/>
    <w:rsid w:val="00D64239"/>
    <w:rsid w:val="00D66A5A"/>
    <w:rsid w:val="00D7171D"/>
    <w:rsid w:val="00DA4854"/>
    <w:rsid w:val="00DB5DA6"/>
    <w:rsid w:val="00DC57A8"/>
    <w:rsid w:val="00E226BA"/>
    <w:rsid w:val="00E22E47"/>
    <w:rsid w:val="00E4536F"/>
    <w:rsid w:val="00E57624"/>
    <w:rsid w:val="00E73ED2"/>
    <w:rsid w:val="00E75E65"/>
    <w:rsid w:val="00E83FD7"/>
    <w:rsid w:val="00E865CB"/>
    <w:rsid w:val="00EA2D90"/>
    <w:rsid w:val="00EC1097"/>
    <w:rsid w:val="00EE3455"/>
    <w:rsid w:val="00F00C9A"/>
    <w:rsid w:val="00F0182C"/>
    <w:rsid w:val="00F6410B"/>
    <w:rsid w:val="00F763BF"/>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DB978-9B42-4A33-BDCB-6B8564C3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5102</Words>
  <Characters>29086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110</cp:revision>
  <cp:lastPrinted>2026-04-27T08:47:00Z</cp:lastPrinted>
  <dcterms:created xsi:type="dcterms:W3CDTF">2026-03-26T07:57:00Z</dcterms:created>
  <dcterms:modified xsi:type="dcterms:W3CDTF">2026-05-22T11:01:00Z</dcterms:modified>
</cp:coreProperties>
</file>